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2CE" w:rsidRDefault="008222CE" w:rsidP="008222CE">
      <w:pPr>
        <w:pStyle w:val="Default"/>
        <w:rPr>
          <w:noProof/>
        </w:rPr>
      </w:pPr>
      <w:r>
        <w:rPr>
          <w:noProof/>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222CE" w:rsidTr="008222CE">
        <w:tc>
          <w:tcPr>
            <w:tcW w:w="4788" w:type="dxa"/>
          </w:tcPr>
          <w:p w:rsidR="008222CE" w:rsidRPr="00431FAE" w:rsidRDefault="008222CE" w:rsidP="008222CE">
            <w:pPr>
              <w:pStyle w:val="Default"/>
              <w:rPr>
                <w:sz w:val="40"/>
                <w:szCs w:val="40"/>
              </w:rPr>
            </w:pPr>
            <w:r w:rsidRPr="00431FAE">
              <w:rPr>
                <w:b/>
                <w:bCs/>
                <w:sz w:val="40"/>
                <w:szCs w:val="40"/>
              </w:rPr>
              <w:t>Confidentiality</w:t>
            </w:r>
          </w:p>
          <w:p w:rsidR="008222CE" w:rsidRDefault="008222CE" w:rsidP="008222CE">
            <w:pPr>
              <w:pStyle w:val="Default"/>
              <w:rPr>
                <w:noProof/>
              </w:rPr>
            </w:pPr>
          </w:p>
        </w:tc>
        <w:tc>
          <w:tcPr>
            <w:tcW w:w="4788" w:type="dxa"/>
          </w:tcPr>
          <w:p w:rsidR="008222CE" w:rsidRDefault="008222CE" w:rsidP="008222CE">
            <w:pPr>
              <w:pStyle w:val="Default"/>
              <w:jc w:val="right"/>
              <w:rPr>
                <w:noProof/>
              </w:rPr>
            </w:pPr>
            <w:r w:rsidRPr="008222CE">
              <w:rPr>
                <w:noProof/>
              </w:rPr>
              <w:drawing>
                <wp:inline distT="0" distB="0" distL="0" distR="0">
                  <wp:extent cx="1264920" cy="1066800"/>
                  <wp:effectExtent l="0" t="0" r="0" b="0"/>
                  <wp:docPr id="2"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531321" cy="1859952"/>
                            <a:chOff x="4572000" y="3004309"/>
                            <a:chExt cx="1531321" cy="1859952"/>
                          </a:xfrm>
                        </a:grpSpPr>
                        <a:grpSp>
                          <a:nvGrpSpPr>
                            <a:cNvPr id="25" name="Group 24"/>
                            <a:cNvGrpSpPr/>
                          </a:nvGrpSpPr>
                          <a:grpSpPr>
                            <a:xfrm>
                              <a:off x="4572000" y="3004309"/>
                              <a:ext cx="1531321" cy="1859952"/>
                              <a:chOff x="4572000" y="3004309"/>
                              <a:chExt cx="1531321" cy="1859952"/>
                            </a:xfrm>
                          </a:grpSpPr>
                          <a:sp>
                            <a:nvSpPr>
                              <a:cNvPr id="4" name="Rectangle 3"/>
                              <a:cNvSpPr/>
                            </a:nvSpPr>
                            <a:spPr>
                              <a:xfrm rot="18899270">
                                <a:off x="4682917" y="3238667"/>
                                <a:ext cx="1352537" cy="1327418"/>
                              </a:xfrm>
                              <a:prstGeom prst="rect">
                                <a:avLst/>
                              </a:prstGeom>
                              <a:gradFill flip="none" rotWithShape="1">
                                <a:gsLst>
                                  <a:gs pos="0">
                                    <a:srgbClr val="D7E7C7"/>
                                  </a:gs>
                                  <a:gs pos="50000">
                                    <a:srgbClr val="9CB86E"/>
                                  </a:gs>
                                  <a:gs pos="100000">
                                    <a:srgbClr val="156B13"/>
                                  </a:gs>
                                </a:gsLst>
                                <a:lin ang="2700000" scaled="1"/>
                                <a:tileRect/>
                              </a:gradFill>
                              <a:ln w="12700">
                                <a:solidFill>
                                  <a:schemeClr val="accent1">
                                    <a:shade val="50000"/>
                                    <a:alpha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AU"/>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ectangle 5"/>
                              <a:cNvSpPr/>
                            </a:nvSpPr>
                            <a:spPr>
                              <a:xfrm>
                                <a:off x="4572000" y="3848598"/>
                                <a:ext cx="704039" cy="1015663"/>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vl="0" algn="ctr"/>
                                  <a:r>
                                    <a:rPr lang="en-US" sz="6000" b="1" dirty="0" smtClean="0">
                                      <a:ln w="10541" cmpd="sng">
                                        <a:solidFill>
                                          <a:srgbClr val="4F81BD">
                                            <a:shade val="88000"/>
                                            <a:satMod val="110000"/>
                                          </a:srgbClr>
                                        </a:solidFill>
                                        <a:prstDash val="solid"/>
                                      </a:ln>
                                      <a:gradFill>
                                        <a:gsLst>
                                          <a:gs pos="0">
                                            <a:srgbClr val="000000"/>
                                          </a:gs>
                                          <a:gs pos="39999">
                                            <a:srgbClr val="0A128C"/>
                                          </a:gs>
                                          <a:gs pos="70000">
                                            <a:srgbClr val="181CC7"/>
                                          </a:gs>
                                          <a:gs pos="88000">
                                            <a:srgbClr val="7005D4"/>
                                          </a:gs>
                                          <a:gs pos="100000">
                                            <a:srgbClr val="8C3D91"/>
                                          </a:gs>
                                        </a:gsLst>
                                        <a:lin ang="5400000" scaled="0"/>
                                      </a:gradFill>
                                      <a:latin typeface="Copperplate Gothic Bold" pitchFamily="34" charset="0"/>
                                    </a:rPr>
                                    <a:t>T</a:t>
                                  </a:r>
                                  <a:endParaRPr lang="en-US" b="1" dirty="0">
                                    <a:ln w="10541" cmpd="sng">
                                      <a:solidFill>
                                        <a:srgbClr val="4F81BD">
                                          <a:shade val="88000"/>
                                          <a:satMod val="110000"/>
                                        </a:srgbClr>
                                      </a:solidFill>
                                      <a:prstDash val="solid"/>
                                    </a:ln>
                                    <a:gradFill>
                                      <a:gsLst>
                                        <a:gs pos="0">
                                          <a:srgbClr val="000000"/>
                                        </a:gs>
                                        <a:gs pos="39999">
                                          <a:srgbClr val="0A128C"/>
                                        </a:gs>
                                        <a:gs pos="70000">
                                          <a:srgbClr val="181CC7"/>
                                        </a:gs>
                                        <a:gs pos="88000">
                                          <a:srgbClr val="7005D4"/>
                                        </a:gs>
                                        <a:gs pos="100000">
                                          <a:srgbClr val="8C3D91"/>
                                        </a:gs>
                                      </a:gsLst>
                                      <a:lin ang="5400000" scaled="0"/>
                                    </a:gradFill>
                                    <a:latin typeface="Copperplate Gothic Bold" pitchFamily="34" charset="0"/>
                                  </a:endParaRPr>
                                </a:p>
                              </a:txBody>
                              <a:useSpRect/>
                            </a:txSp>
                          </a:sp>
                          <a:sp>
                            <a:nvSpPr>
                              <a:cNvPr id="7" name="Rectangle 6"/>
                              <a:cNvSpPr/>
                            </a:nvSpPr>
                            <a:spPr>
                              <a:xfrm>
                                <a:off x="5399282" y="3004309"/>
                                <a:ext cx="704039" cy="1015663"/>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lvl="0" algn="ctr"/>
                                  <a:r>
                                    <a:rPr lang="en-US" sz="6000" b="1" dirty="0" smtClean="0">
                                      <a:ln w="10541" cmpd="sng">
                                        <a:solidFill>
                                          <a:srgbClr val="4F81BD">
                                            <a:shade val="88000"/>
                                            <a:satMod val="110000"/>
                                          </a:srgbClr>
                                        </a:solidFill>
                                        <a:prstDash val="solid"/>
                                      </a:ln>
                                      <a:gradFill>
                                        <a:gsLst>
                                          <a:gs pos="0">
                                            <a:srgbClr val="000000"/>
                                          </a:gs>
                                          <a:gs pos="39999">
                                            <a:srgbClr val="0A128C"/>
                                          </a:gs>
                                          <a:gs pos="70000">
                                            <a:srgbClr val="181CC7"/>
                                          </a:gs>
                                          <a:gs pos="88000">
                                            <a:srgbClr val="7005D4"/>
                                          </a:gs>
                                          <a:gs pos="100000">
                                            <a:srgbClr val="8C3D91"/>
                                          </a:gs>
                                        </a:gsLst>
                                        <a:lin ang="5400000" scaled="0"/>
                                      </a:gradFill>
                                      <a:latin typeface="Copperplate Gothic Bold" pitchFamily="34" charset="0"/>
                                    </a:rPr>
                                    <a:t>T</a:t>
                                  </a:r>
                                  <a:endParaRPr lang="en-US" sz="2000" b="1" dirty="0">
                                    <a:ln w="10541" cmpd="sng">
                                      <a:solidFill>
                                        <a:srgbClr val="4F81BD">
                                          <a:shade val="88000"/>
                                          <a:satMod val="110000"/>
                                        </a:srgbClr>
                                      </a:solidFill>
                                      <a:prstDash val="solid"/>
                                    </a:ln>
                                    <a:gradFill>
                                      <a:gsLst>
                                        <a:gs pos="0">
                                          <a:srgbClr val="000000"/>
                                        </a:gs>
                                        <a:gs pos="39999">
                                          <a:srgbClr val="0A128C"/>
                                        </a:gs>
                                        <a:gs pos="70000">
                                          <a:srgbClr val="181CC7"/>
                                        </a:gs>
                                        <a:gs pos="88000">
                                          <a:srgbClr val="7005D4"/>
                                        </a:gs>
                                        <a:gs pos="100000">
                                          <a:srgbClr val="8C3D91"/>
                                        </a:gs>
                                      </a:gsLst>
                                      <a:lin ang="5400000" scaled="0"/>
                                    </a:gradFill>
                                    <a:latin typeface="Copperplate Gothic Bold" pitchFamily="34" charset="0"/>
                                  </a:endParaRPr>
                                </a:p>
                              </a:txBody>
                              <a:useSpRect/>
                            </a:txSp>
                          </a:sp>
                          <a:sp>
                            <a:nvSpPr>
                              <a:cNvPr id="8" name="Rectangle 7"/>
                              <a:cNvSpPr/>
                            </a:nvSpPr>
                            <a:spPr>
                              <a:xfrm>
                                <a:off x="4979855" y="3429000"/>
                                <a:ext cx="685798" cy="1015663"/>
                              </a:xfrm>
                              <a:prstGeom prst="rect">
                                <a:avLst/>
                              </a:prstGeom>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lvl="1"/>
                                  <a:r>
                                    <a:rPr lang="en-US" sz="6000" b="1" dirty="0" smtClean="0">
                                      <a:ln w="10541" cmpd="sng">
                                        <a:solidFill>
                                          <a:srgbClr val="4F81BD">
                                            <a:shade val="88000"/>
                                            <a:satMod val="110000"/>
                                          </a:srgbClr>
                                        </a:solidFill>
                                        <a:prstDash val="solid"/>
                                      </a:ln>
                                      <a:gradFill>
                                        <a:gsLst>
                                          <a:gs pos="0">
                                            <a:srgbClr val="000000"/>
                                          </a:gs>
                                          <a:gs pos="39999">
                                            <a:srgbClr val="0A128C"/>
                                          </a:gs>
                                          <a:gs pos="70000">
                                            <a:srgbClr val="181CC7"/>
                                          </a:gs>
                                          <a:gs pos="88000">
                                            <a:srgbClr val="7005D4"/>
                                          </a:gs>
                                          <a:gs pos="100000">
                                            <a:srgbClr val="8C3D91"/>
                                          </a:gs>
                                        </a:gsLst>
                                        <a:lin ang="5400000" scaled="0"/>
                                      </a:gradFill>
                                      <a:latin typeface="Copperplate Gothic Bold" pitchFamily="34" charset="0"/>
                                    </a:rPr>
                                    <a:t>T</a:t>
                                  </a:r>
                                  <a:endParaRPr lang="en-US" sz="2000" b="1" dirty="0">
                                    <a:ln w="10541" cmpd="sng">
                                      <a:solidFill>
                                        <a:srgbClr val="4F81BD">
                                          <a:shade val="88000"/>
                                          <a:satMod val="110000"/>
                                        </a:srgbClr>
                                      </a:solidFill>
                                      <a:prstDash val="solid"/>
                                    </a:ln>
                                    <a:gradFill>
                                      <a:gsLst>
                                        <a:gs pos="0">
                                          <a:srgbClr val="000000"/>
                                        </a:gs>
                                        <a:gs pos="39999">
                                          <a:srgbClr val="0A128C"/>
                                        </a:gs>
                                        <a:gs pos="70000">
                                          <a:srgbClr val="181CC7"/>
                                        </a:gs>
                                        <a:gs pos="88000">
                                          <a:srgbClr val="7005D4"/>
                                        </a:gs>
                                        <a:gs pos="100000">
                                          <a:srgbClr val="8C3D91"/>
                                        </a:gs>
                                      </a:gsLst>
                                      <a:lin ang="5400000" scaled="0"/>
                                    </a:gradFill>
                                    <a:latin typeface="Copperplate Gothic Bold" pitchFamily="34" charset="0"/>
                                  </a:endParaRPr>
                                </a:p>
                              </a:txBody>
                              <a:useSpRect/>
                            </a:txSp>
                          </a:sp>
                        </a:grpSp>
                      </lc:lockedCanvas>
                    </a:graphicData>
                  </a:graphic>
                </wp:inline>
              </w:drawing>
            </w:r>
          </w:p>
          <w:p w:rsidR="008222CE" w:rsidRPr="008222CE" w:rsidRDefault="008222CE" w:rsidP="008222CE">
            <w:pPr>
              <w:pStyle w:val="Header"/>
              <w:jc w:val="right"/>
              <w:rPr>
                <w:rFonts w:ascii="Copperplate Gothic Bold" w:hAnsi="Copperplate Gothic Bold"/>
              </w:rPr>
            </w:pPr>
            <w:r w:rsidRPr="00E4502F">
              <w:rPr>
                <w:rFonts w:ascii="Copperplate Gothic Bold" w:hAnsi="Copperplate Gothic Bold"/>
              </w:rPr>
              <w:t>Talk and Touch Therapy</w:t>
            </w:r>
          </w:p>
        </w:tc>
      </w:tr>
    </w:tbl>
    <w:p w:rsidR="008222CE" w:rsidRDefault="008222CE" w:rsidP="008222CE">
      <w:pPr>
        <w:pStyle w:val="Default"/>
      </w:pPr>
      <w:r>
        <w:rPr>
          <w:noProof/>
        </w:rPr>
        <w:t xml:space="preserve">                                                                                                </w:t>
      </w:r>
    </w:p>
    <w:p w:rsidR="00B4470C" w:rsidRPr="00431FAE" w:rsidRDefault="00B4470C" w:rsidP="00B4470C">
      <w:pPr>
        <w:pStyle w:val="Default"/>
        <w:rPr>
          <w:rFonts w:asciiTheme="minorHAnsi" w:hAnsiTheme="minorHAnsi" w:cstheme="minorHAnsi"/>
          <w:sz w:val="23"/>
          <w:szCs w:val="23"/>
        </w:rPr>
      </w:pPr>
      <w:r w:rsidRPr="00431FAE">
        <w:rPr>
          <w:rFonts w:asciiTheme="minorHAnsi" w:hAnsiTheme="minorHAnsi" w:cstheme="minorHAnsi"/>
          <w:sz w:val="23"/>
          <w:szCs w:val="23"/>
        </w:rPr>
        <w:t xml:space="preserve">As a client in psychotherapy, you have certain rights that are important for you to understand because this is your therapy, whose goal is your well-being. </w:t>
      </w:r>
    </w:p>
    <w:p w:rsidR="00B4470C" w:rsidRPr="00431FAE" w:rsidRDefault="00B4470C" w:rsidP="00B4470C">
      <w:pPr>
        <w:pStyle w:val="Default"/>
        <w:rPr>
          <w:rFonts w:asciiTheme="minorHAnsi" w:hAnsiTheme="minorHAnsi" w:cstheme="minorHAnsi"/>
          <w:sz w:val="23"/>
          <w:szCs w:val="23"/>
        </w:rPr>
      </w:pPr>
    </w:p>
    <w:p w:rsidR="00B4470C" w:rsidRPr="00431FAE" w:rsidRDefault="00B4470C" w:rsidP="00B4470C">
      <w:pPr>
        <w:pStyle w:val="Default"/>
        <w:rPr>
          <w:rFonts w:asciiTheme="minorHAnsi" w:hAnsiTheme="minorHAnsi" w:cstheme="minorHAnsi"/>
          <w:sz w:val="23"/>
          <w:szCs w:val="23"/>
        </w:rPr>
      </w:pPr>
      <w:r w:rsidRPr="00431FAE">
        <w:rPr>
          <w:rFonts w:asciiTheme="minorHAnsi" w:hAnsiTheme="minorHAnsi" w:cstheme="minorHAnsi"/>
          <w:sz w:val="23"/>
          <w:szCs w:val="23"/>
        </w:rPr>
        <w:t xml:space="preserve">As part of providing a psychological service to you, your psychologist will need to collect and record personal information that is relevant to your current situation. Collection of personal information is a necessary part of psychological assessment and therapy. </w:t>
      </w:r>
    </w:p>
    <w:p w:rsidR="00B4470C" w:rsidRPr="00431FAE" w:rsidRDefault="00B4470C" w:rsidP="00B4470C">
      <w:pPr>
        <w:pStyle w:val="Default"/>
        <w:rPr>
          <w:rFonts w:asciiTheme="minorHAnsi" w:hAnsiTheme="minorHAnsi" w:cstheme="minorHAnsi"/>
          <w:b/>
          <w:bCs/>
          <w:sz w:val="28"/>
          <w:szCs w:val="28"/>
        </w:rPr>
      </w:pPr>
    </w:p>
    <w:p w:rsidR="00B4470C" w:rsidRPr="00431FAE" w:rsidRDefault="00B4470C" w:rsidP="00B4470C">
      <w:pPr>
        <w:pStyle w:val="Default"/>
        <w:rPr>
          <w:rFonts w:asciiTheme="minorHAnsi" w:hAnsiTheme="minorHAnsi" w:cstheme="minorHAnsi"/>
          <w:sz w:val="28"/>
          <w:szCs w:val="28"/>
        </w:rPr>
      </w:pPr>
      <w:r w:rsidRPr="00431FAE">
        <w:rPr>
          <w:rFonts w:asciiTheme="minorHAnsi" w:hAnsiTheme="minorHAnsi" w:cstheme="minorHAnsi"/>
          <w:b/>
          <w:bCs/>
          <w:sz w:val="28"/>
          <w:szCs w:val="28"/>
        </w:rPr>
        <w:t xml:space="preserve">Purpose of Collecting and Retaining Information </w:t>
      </w:r>
    </w:p>
    <w:p w:rsidR="00B4470C" w:rsidRPr="00431FAE" w:rsidRDefault="00B4470C" w:rsidP="00B4470C">
      <w:pPr>
        <w:rPr>
          <w:rFonts w:asciiTheme="minorHAnsi" w:hAnsiTheme="minorHAnsi" w:cstheme="minorHAnsi"/>
        </w:rPr>
      </w:pPr>
      <w:r w:rsidRPr="00431FAE">
        <w:rPr>
          <w:rFonts w:asciiTheme="minorHAnsi" w:hAnsiTheme="minorHAnsi" w:cstheme="minorHAnsi"/>
          <w:sz w:val="23"/>
          <w:szCs w:val="23"/>
        </w:rPr>
        <w:t>Information is gathered as part of the assessment, diagnosis and treatment of a client's condition, and is seen only by the psychologist. The information is retained in order to document what happens during sessions, and enables the psychologist to provide a relevant and informed psychological service. All communications between you and your psychologist become part of your clinical records, which are stored in your client file. Client files are held in a secure filing cabinet.</w:t>
      </w:r>
    </w:p>
    <w:p w:rsidR="00B4470C" w:rsidRPr="00431FAE" w:rsidRDefault="00B4470C" w:rsidP="00B4470C">
      <w:pPr>
        <w:pStyle w:val="Default"/>
        <w:rPr>
          <w:rFonts w:asciiTheme="minorHAnsi" w:hAnsiTheme="minorHAnsi" w:cstheme="minorHAnsi"/>
          <w:sz w:val="28"/>
          <w:szCs w:val="28"/>
        </w:rPr>
      </w:pPr>
      <w:r w:rsidRPr="00431FAE">
        <w:rPr>
          <w:rFonts w:asciiTheme="minorHAnsi" w:hAnsiTheme="minorHAnsi" w:cstheme="minorHAnsi"/>
          <w:b/>
          <w:bCs/>
          <w:sz w:val="28"/>
          <w:szCs w:val="28"/>
        </w:rPr>
        <w:t xml:space="preserve">Confidentiality </w:t>
      </w:r>
    </w:p>
    <w:p w:rsidR="00B4470C" w:rsidRPr="00431FAE" w:rsidRDefault="00555A48" w:rsidP="00B4470C">
      <w:pPr>
        <w:pStyle w:val="Default"/>
        <w:rPr>
          <w:rFonts w:asciiTheme="minorHAnsi" w:hAnsiTheme="minorHAnsi" w:cstheme="minorHAnsi"/>
          <w:sz w:val="23"/>
          <w:szCs w:val="23"/>
        </w:rPr>
      </w:pPr>
      <w:r>
        <w:rPr>
          <w:rFonts w:asciiTheme="minorHAnsi" w:hAnsiTheme="minorHAnsi" w:cstheme="minorHAnsi"/>
          <w:sz w:val="23"/>
          <w:szCs w:val="23"/>
        </w:rPr>
        <w:t>Apart from</w:t>
      </w:r>
      <w:r w:rsidR="00B4470C" w:rsidRPr="00431FAE">
        <w:rPr>
          <w:rFonts w:asciiTheme="minorHAnsi" w:hAnsiTheme="minorHAnsi" w:cstheme="minorHAnsi"/>
          <w:sz w:val="23"/>
          <w:szCs w:val="23"/>
        </w:rPr>
        <w:t xml:space="preserve"> certain specific exceptions described below, you have the absolute right to confidentiality of your information. You are assured that all personal information gathered by the psychologist during the provision of the psychological service will remain confidential and secure. </w:t>
      </w:r>
    </w:p>
    <w:p w:rsidR="00B4470C" w:rsidRPr="00431FAE" w:rsidRDefault="00B4470C" w:rsidP="00B4470C">
      <w:pPr>
        <w:pStyle w:val="Default"/>
        <w:rPr>
          <w:rFonts w:asciiTheme="minorHAnsi" w:hAnsiTheme="minorHAnsi" w:cstheme="minorHAnsi"/>
          <w:sz w:val="23"/>
          <w:szCs w:val="23"/>
        </w:rPr>
      </w:pPr>
    </w:p>
    <w:p w:rsidR="00B4470C" w:rsidRPr="00431FAE" w:rsidRDefault="00B4470C" w:rsidP="00B4470C">
      <w:pPr>
        <w:pStyle w:val="Default"/>
        <w:rPr>
          <w:rFonts w:asciiTheme="minorHAnsi" w:hAnsiTheme="minorHAnsi" w:cstheme="minorHAnsi"/>
          <w:sz w:val="23"/>
          <w:szCs w:val="23"/>
        </w:rPr>
      </w:pPr>
      <w:r w:rsidRPr="00431FAE">
        <w:rPr>
          <w:rFonts w:asciiTheme="minorHAnsi" w:hAnsiTheme="minorHAnsi" w:cstheme="minorHAnsi"/>
          <w:sz w:val="23"/>
          <w:szCs w:val="23"/>
        </w:rPr>
        <w:t xml:space="preserve">However, it is important to know there are exceptions in which all psychologists are mandated (by law) to break confidentiality. This can occur when: </w:t>
      </w:r>
    </w:p>
    <w:p w:rsidR="00B4470C" w:rsidRPr="00431FAE" w:rsidRDefault="00B4470C" w:rsidP="00B4470C">
      <w:pPr>
        <w:pStyle w:val="Default"/>
        <w:rPr>
          <w:rFonts w:asciiTheme="minorHAnsi" w:hAnsiTheme="minorHAnsi" w:cstheme="minorHAnsi"/>
          <w:sz w:val="23"/>
          <w:szCs w:val="23"/>
        </w:rPr>
      </w:pPr>
      <w:r w:rsidRPr="00431FAE">
        <w:rPr>
          <w:rFonts w:asciiTheme="minorHAnsi" w:hAnsiTheme="minorHAnsi" w:cstheme="minorHAnsi"/>
          <w:sz w:val="23"/>
          <w:szCs w:val="23"/>
        </w:rPr>
        <w:t xml:space="preserve">1. The information you have given to your psychologist is subpoenaed (officially requested) by a court of law </w:t>
      </w:r>
    </w:p>
    <w:p w:rsidR="00B4470C" w:rsidRPr="00431FAE" w:rsidRDefault="00B4470C" w:rsidP="00B4470C">
      <w:pPr>
        <w:pStyle w:val="Default"/>
        <w:rPr>
          <w:rFonts w:asciiTheme="minorHAnsi" w:hAnsiTheme="minorHAnsi" w:cstheme="minorHAnsi"/>
          <w:sz w:val="23"/>
          <w:szCs w:val="23"/>
        </w:rPr>
      </w:pPr>
      <w:r w:rsidRPr="00431FAE">
        <w:rPr>
          <w:rFonts w:asciiTheme="minorHAnsi" w:hAnsiTheme="minorHAnsi" w:cstheme="minorHAnsi"/>
          <w:sz w:val="23"/>
          <w:szCs w:val="23"/>
        </w:rPr>
        <w:t xml:space="preserve">2. Failure to disclose the information would place you or another person at serious risk of harm </w:t>
      </w:r>
    </w:p>
    <w:p w:rsidR="00B4470C" w:rsidRPr="00431FAE" w:rsidRDefault="00B4470C" w:rsidP="00B4470C">
      <w:pPr>
        <w:pStyle w:val="Default"/>
        <w:rPr>
          <w:rFonts w:asciiTheme="minorHAnsi" w:hAnsiTheme="minorHAnsi" w:cstheme="minorHAnsi"/>
          <w:sz w:val="23"/>
          <w:szCs w:val="23"/>
        </w:rPr>
      </w:pPr>
      <w:r w:rsidRPr="00431FAE">
        <w:rPr>
          <w:rFonts w:asciiTheme="minorHAnsi" w:hAnsiTheme="minorHAnsi" w:cstheme="minorHAnsi"/>
          <w:sz w:val="23"/>
          <w:szCs w:val="23"/>
        </w:rPr>
        <w:t>3. Your prior approval has been obtained to</w:t>
      </w:r>
      <w:r w:rsidR="00431FAE">
        <w:rPr>
          <w:rFonts w:asciiTheme="minorHAnsi" w:hAnsiTheme="minorHAnsi" w:cstheme="minorHAnsi"/>
          <w:sz w:val="23"/>
          <w:szCs w:val="23"/>
        </w:rPr>
        <w:t xml:space="preserve">: </w:t>
      </w:r>
      <w:r w:rsidRPr="00431FAE">
        <w:rPr>
          <w:rFonts w:asciiTheme="minorHAnsi" w:hAnsiTheme="minorHAnsi" w:cstheme="minorHAnsi"/>
          <w:sz w:val="23"/>
          <w:szCs w:val="23"/>
        </w:rPr>
        <w:t xml:space="preserve"> a) provide a written report to another professional or agency, </w:t>
      </w:r>
      <w:r w:rsidR="00555A48" w:rsidRPr="00431FAE">
        <w:rPr>
          <w:rFonts w:asciiTheme="minorHAnsi" w:hAnsiTheme="minorHAnsi" w:cstheme="minorHAnsi"/>
          <w:sz w:val="23"/>
          <w:szCs w:val="23"/>
        </w:rPr>
        <w:t>e.g.</w:t>
      </w:r>
      <w:r w:rsidRPr="00431FAE">
        <w:rPr>
          <w:rFonts w:asciiTheme="minorHAnsi" w:hAnsiTheme="minorHAnsi" w:cstheme="minorHAnsi"/>
          <w:sz w:val="23"/>
          <w:szCs w:val="23"/>
        </w:rPr>
        <w:t xml:space="preserve"> a GP or solicitor</w:t>
      </w:r>
      <w:r w:rsidR="00555A48">
        <w:rPr>
          <w:rFonts w:asciiTheme="minorHAnsi" w:hAnsiTheme="minorHAnsi" w:cstheme="minorHAnsi"/>
          <w:sz w:val="23"/>
          <w:szCs w:val="23"/>
        </w:rPr>
        <w:t>,</w:t>
      </w:r>
      <w:r w:rsidR="00555A48" w:rsidRPr="00431FAE">
        <w:rPr>
          <w:rFonts w:asciiTheme="minorHAnsi" w:hAnsiTheme="minorHAnsi" w:cstheme="minorHAnsi"/>
          <w:sz w:val="23"/>
          <w:szCs w:val="23"/>
        </w:rPr>
        <w:t xml:space="preserve"> b</w:t>
      </w:r>
      <w:r w:rsidRPr="00431FAE">
        <w:rPr>
          <w:rFonts w:asciiTheme="minorHAnsi" w:hAnsiTheme="minorHAnsi" w:cstheme="minorHAnsi"/>
          <w:sz w:val="23"/>
          <w:szCs w:val="23"/>
        </w:rPr>
        <w:t xml:space="preserve">) discuss the material with another person, </w:t>
      </w:r>
      <w:r w:rsidR="00555A48" w:rsidRPr="00431FAE">
        <w:rPr>
          <w:rFonts w:asciiTheme="minorHAnsi" w:hAnsiTheme="minorHAnsi" w:cstheme="minorHAnsi"/>
          <w:sz w:val="23"/>
          <w:szCs w:val="23"/>
        </w:rPr>
        <w:t>e.g.</w:t>
      </w:r>
      <w:r w:rsidRPr="00431FAE">
        <w:rPr>
          <w:rFonts w:asciiTheme="minorHAnsi" w:hAnsiTheme="minorHAnsi" w:cstheme="minorHAnsi"/>
          <w:sz w:val="23"/>
          <w:szCs w:val="23"/>
        </w:rPr>
        <w:t xml:space="preserve"> a parent or employer </w:t>
      </w:r>
    </w:p>
    <w:p w:rsidR="00B4470C" w:rsidRPr="00431FAE" w:rsidRDefault="00B4470C" w:rsidP="00B4470C">
      <w:pPr>
        <w:pStyle w:val="Default"/>
        <w:rPr>
          <w:rFonts w:asciiTheme="minorHAnsi" w:hAnsiTheme="minorHAnsi" w:cstheme="minorHAnsi"/>
          <w:sz w:val="23"/>
          <w:szCs w:val="23"/>
        </w:rPr>
      </w:pPr>
    </w:p>
    <w:p w:rsidR="00B4470C" w:rsidRPr="00431FAE" w:rsidRDefault="00B4470C" w:rsidP="00B4470C">
      <w:pPr>
        <w:pStyle w:val="Default"/>
        <w:rPr>
          <w:rFonts w:asciiTheme="minorHAnsi" w:hAnsiTheme="minorHAnsi" w:cstheme="minorHAnsi"/>
          <w:sz w:val="28"/>
          <w:szCs w:val="28"/>
        </w:rPr>
      </w:pPr>
      <w:r w:rsidRPr="00431FAE">
        <w:rPr>
          <w:rFonts w:asciiTheme="minorHAnsi" w:hAnsiTheme="minorHAnsi" w:cstheme="minorHAnsi"/>
          <w:b/>
          <w:bCs/>
          <w:sz w:val="28"/>
          <w:szCs w:val="28"/>
        </w:rPr>
        <w:t xml:space="preserve">Exchange of Client Information </w:t>
      </w:r>
    </w:p>
    <w:p w:rsidR="00B4470C" w:rsidRPr="00431FAE" w:rsidRDefault="00B4470C" w:rsidP="00B4470C">
      <w:pPr>
        <w:pStyle w:val="Default"/>
        <w:rPr>
          <w:rFonts w:asciiTheme="minorHAnsi" w:hAnsiTheme="minorHAnsi" w:cstheme="minorHAnsi"/>
          <w:sz w:val="23"/>
          <w:szCs w:val="23"/>
        </w:rPr>
      </w:pPr>
      <w:r w:rsidRPr="00431FAE">
        <w:rPr>
          <w:rFonts w:asciiTheme="minorHAnsi" w:hAnsiTheme="minorHAnsi" w:cstheme="minorHAnsi"/>
          <w:sz w:val="23"/>
          <w:szCs w:val="23"/>
        </w:rPr>
        <w:t>There may be times where, as part of the assessment and therapy process, it may be helpful for your psychologist to liaise with other people or agencies that are relevant to your therapy goals (</w:t>
      </w:r>
      <w:r w:rsidR="00555A48" w:rsidRPr="00431FAE">
        <w:rPr>
          <w:rFonts w:asciiTheme="minorHAnsi" w:hAnsiTheme="minorHAnsi" w:cstheme="minorHAnsi"/>
          <w:sz w:val="23"/>
          <w:szCs w:val="23"/>
        </w:rPr>
        <w:t>e.g.</w:t>
      </w:r>
      <w:r w:rsidRPr="00431FAE">
        <w:rPr>
          <w:rFonts w:asciiTheme="minorHAnsi" w:hAnsiTheme="minorHAnsi" w:cstheme="minorHAnsi"/>
          <w:sz w:val="23"/>
          <w:szCs w:val="23"/>
        </w:rPr>
        <w:t xml:space="preserve">, your GP, specialist, parent.). </w:t>
      </w:r>
    </w:p>
    <w:p w:rsidR="00B4470C" w:rsidRPr="00431FAE" w:rsidRDefault="00B4470C" w:rsidP="00B4470C">
      <w:pPr>
        <w:pStyle w:val="Default"/>
        <w:rPr>
          <w:rFonts w:asciiTheme="minorHAnsi" w:hAnsiTheme="minorHAnsi" w:cstheme="minorHAnsi"/>
          <w:sz w:val="23"/>
          <w:szCs w:val="23"/>
        </w:rPr>
      </w:pPr>
      <w:r w:rsidRPr="00431FAE">
        <w:rPr>
          <w:rFonts w:asciiTheme="minorHAnsi" w:hAnsiTheme="minorHAnsi" w:cstheme="minorHAnsi"/>
          <w:sz w:val="23"/>
          <w:szCs w:val="23"/>
        </w:rPr>
        <w:t xml:space="preserve">Please note that if you intend to claim rebates from Medicare or another </w:t>
      </w:r>
      <w:proofErr w:type="spellStart"/>
      <w:r w:rsidRPr="00431FAE">
        <w:rPr>
          <w:rFonts w:asciiTheme="minorHAnsi" w:hAnsiTheme="minorHAnsi" w:cstheme="minorHAnsi"/>
          <w:sz w:val="23"/>
          <w:szCs w:val="23"/>
        </w:rPr>
        <w:t>organisation</w:t>
      </w:r>
      <w:proofErr w:type="spellEnd"/>
      <w:r w:rsidRPr="00431FAE">
        <w:rPr>
          <w:rFonts w:asciiTheme="minorHAnsi" w:hAnsiTheme="minorHAnsi" w:cstheme="minorHAnsi"/>
          <w:sz w:val="23"/>
          <w:szCs w:val="23"/>
        </w:rPr>
        <w:t xml:space="preserve"> (such as </w:t>
      </w:r>
      <w:proofErr w:type="spellStart"/>
      <w:r w:rsidRPr="00431FAE">
        <w:rPr>
          <w:rFonts w:asciiTheme="minorHAnsi" w:hAnsiTheme="minorHAnsi" w:cstheme="minorHAnsi"/>
          <w:sz w:val="23"/>
          <w:szCs w:val="23"/>
        </w:rPr>
        <w:t>WorkCover</w:t>
      </w:r>
      <w:proofErr w:type="spellEnd"/>
      <w:r w:rsidRPr="00431FAE">
        <w:rPr>
          <w:rFonts w:asciiTheme="minorHAnsi" w:hAnsiTheme="minorHAnsi" w:cstheme="minorHAnsi"/>
          <w:sz w:val="23"/>
          <w:szCs w:val="23"/>
        </w:rPr>
        <w:t xml:space="preserve">) then your psychologist must provide summary reports to external agencies regarding your treatment progress. Under the Medicare scheme these reports will normally be sent to your GP or psychiatrist. </w:t>
      </w:r>
    </w:p>
    <w:sectPr w:rsidR="00B4470C" w:rsidRPr="00431FAE" w:rsidSect="00B008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470C"/>
    <w:rsid w:val="000C3569"/>
    <w:rsid w:val="000D7614"/>
    <w:rsid w:val="000F5092"/>
    <w:rsid w:val="00155315"/>
    <w:rsid w:val="002423A1"/>
    <w:rsid w:val="00283BA8"/>
    <w:rsid w:val="002845E0"/>
    <w:rsid w:val="002C1365"/>
    <w:rsid w:val="002D7921"/>
    <w:rsid w:val="003D1423"/>
    <w:rsid w:val="00431FAE"/>
    <w:rsid w:val="004327C6"/>
    <w:rsid w:val="00473E8B"/>
    <w:rsid w:val="00555A48"/>
    <w:rsid w:val="0057057E"/>
    <w:rsid w:val="005A2B7F"/>
    <w:rsid w:val="005A5902"/>
    <w:rsid w:val="005F5055"/>
    <w:rsid w:val="006514F3"/>
    <w:rsid w:val="00663F67"/>
    <w:rsid w:val="00777619"/>
    <w:rsid w:val="008222CE"/>
    <w:rsid w:val="0087186D"/>
    <w:rsid w:val="0089406A"/>
    <w:rsid w:val="008B28D8"/>
    <w:rsid w:val="009240FF"/>
    <w:rsid w:val="00A57DEC"/>
    <w:rsid w:val="00AD10DB"/>
    <w:rsid w:val="00B0086D"/>
    <w:rsid w:val="00B4470C"/>
    <w:rsid w:val="00BC08A7"/>
    <w:rsid w:val="00C02CD4"/>
    <w:rsid w:val="00CA151A"/>
    <w:rsid w:val="00CA54CF"/>
    <w:rsid w:val="00CD27F6"/>
    <w:rsid w:val="00DD657E"/>
    <w:rsid w:val="00E84426"/>
    <w:rsid w:val="00EE3F28"/>
    <w:rsid w:val="00F925B6"/>
    <w:rsid w:val="00FF59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86D"/>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ation">
    <w:name w:val="citation"/>
    <w:basedOn w:val="DefaultParagraphFont"/>
    <w:rsid w:val="00C02CD4"/>
  </w:style>
  <w:style w:type="character" w:styleId="FootnoteReference">
    <w:name w:val="footnote reference"/>
    <w:basedOn w:val="DefaultParagraphFont"/>
    <w:uiPriority w:val="99"/>
    <w:semiHidden/>
    <w:unhideWhenUsed/>
    <w:rsid w:val="00C02CD4"/>
    <w:rPr>
      <w:vertAlign w:val="superscript"/>
    </w:rPr>
  </w:style>
  <w:style w:type="paragraph" w:customStyle="1" w:styleId="Default">
    <w:name w:val="Default"/>
    <w:rsid w:val="00B4470C"/>
    <w:pPr>
      <w:autoSpaceDE w:val="0"/>
      <w:autoSpaceDN w:val="0"/>
      <w:adjustRightInd w:val="0"/>
      <w:spacing w:after="0" w:line="240" w:lineRule="auto"/>
    </w:pPr>
    <w:rPr>
      <w:rFonts w:ascii="Calibri" w:hAnsi="Calibri" w:cs="Calibri"/>
      <w:color w:val="000000"/>
    </w:rPr>
  </w:style>
  <w:style w:type="paragraph" w:styleId="Header">
    <w:name w:val="header"/>
    <w:basedOn w:val="Normal"/>
    <w:link w:val="HeaderChar"/>
    <w:uiPriority w:val="99"/>
    <w:unhideWhenUsed/>
    <w:rsid w:val="008222CE"/>
    <w:pPr>
      <w:tabs>
        <w:tab w:val="center" w:pos="4680"/>
        <w:tab w:val="right" w:pos="9360"/>
      </w:tabs>
      <w:spacing w:after="0" w:line="240" w:lineRule="auto"/>
    </w:pPr>
    <w:rPr>
      <w:rFonts w:asciiTheme="minorHAnsi" w:eastAsiaTheme="minorEastAsia" w:hAnsiTheme="minorHAnsi" w:cstheme="minorBidi"/>
      <w:sz w:val="22"/>
      <w:szCs w:val="22"/>
      <w:lang w:val="en-US"/>
    </w:rPr>
  </w:style>
  <w:style w:type="character" w:customStyle="1" w:styleId="HeaderChar">
    <w:name w:val="Header Char"/>
    <w:basedOn w:val="DefaultParagraphFont"/>
    <w:link w:val="Header"/>
    <w:uiPriority w:val="99"/>
    <w:rsid w:val="008222CE"/>
    <w:rPr>
      <w:rFonts w:asciiTheme="minorHAnsi" w:eastAsiaTheme="minorEastAsia" w:hAnsiTheme="minorHAnsi" w:cstheme="minorBidi"/>
      <w:sz w:val="22"/>
      <w:szCs w:val="22"/>
    </w:rPr>
  </w:style>
  <w:style w:type="paragraph" w:styleId="BalloonText">
    <w:name w:val="Balloon Text"/>
    <w:basedOn w:val="Normal"/>
    <w:link w:val="BalloonTextChar"/>
    <w:uiPriority w:val="99"/>
    <w:semiHidden/>
    <w:unhideWhenUsed/>
    <w:rsid w:val="008222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22CE"/>
    <w:rPr>
      <w:rFonts w:ascii="Tahoma" w:hAnsi="Tahoma" w:cs="Tahoma"/>
      <w:sz w:val="16"/>
      <w:szCs w:val="16"/>
      <w:lang w:val="en-AU"/>
    </w:rPr>
  </w:style>
  <w:style w:type="table" w:styleId="TableGrid">
    <w:name w:val="Table Grid"/>
    <w:basedOn w:val="TableNormal"/>
    <w:uiPriority w:val="59"/>
    <w:rsid w:val="008222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Duffs</dc:creator>
  <cp:lastModifiedBy>Duffs</cp:lastModifiedBy>
  <cp:revision>2</cp:revision>
  <dcterms:created xsi:type="dcterms:W3CDTF">2012-02-19T07:55:00Z</dcterms:created>
  <dcterms:modified xsi:type="dcterms:W3CDTF">2012-02-19T07:55:00Z</dcterms:modified>
</cp:coreProperties>
</file>